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989"/>
        <w:gridCol w:w="6089"/>
      </w:tblGrid>
      <w:tr w:rsidR="009476C9" w:rsidRPr="000862C2" w:rsidTr="00731EA0">
        <w:tblPrEx>
          <w:tblCellMar>
            <w:top w:w="0" w:type="dxa"/>
            <w:bottom w:w="0" w:type="dxa"/>
          </w:tblCellMar>
        </w:tblPrEx>
        <w:tc>
          <w:tcPr>
            <w:tcW w:w="1927" w:type="dxa"/>
          </w:tcPr>
          <w:p w:rsidR="009476C9" w:rsidRPr="000862C2" w:rsidRDefault="009476C9" w:rsidP="0084714C">
            <w:pPr>
              <w:jc w:val="both"/>
              <w:rPr>
                <w:b/>
                <w:bCs/>
                <w:sz w:val="26"/>
                <w:szCs w:val="26"/>
              </w:rPr>
            </w:pPr>
            <w:r w:rsidRPr="000862C2">
              <w:rPr>
                <w:b/>
                <w:bCs/>
                <w:sz w:val="26"/>
                <w:szCs w:val="26"/>
              </w:rPr>
              <w:t>IMPETRANTE:</w:t>
            </w:r>
          </w:p>
        </w:tc>
        <w:tc>
          <w:tcPr>
            <w:tcW w:w="6509" w:type="dxa"/>
          </w:tcPr>
          <w:p w:rsidR="009476C9" w:rsidRPr="000862C2" w:rsidRDefault="009476C9" w:rsidP="0084714C">
            <w:pPr>
              <w:jc w:val="both"/>
              <w:rPr>
                <w:sz w:val="26"/>
                <w:szCs w:val="26"/>
              </w:rPr>
            </w:pPr>
            <w:r w:rsidRPr="000862C2">
              <w:rPr>
                <w:sz w:val="26"/>
                <w:szCs w:val="26"/>
              </w:rPr>
              <w:t>ORDEM DOS ADVOGADOS DO BRASIL</w:t>
            </w:r>
          </w:p>
          <w:p w:rsidR="009476C9" w:rsidRPr="000862C2" w:rsidRDefault="009476C9" w:rsidP="0084714C">
            <w:pPr>
              <w:jc w:val="both"/>
              <w:rPr>
                <w:sz w:val="26"/>
                <w:szCs w:val="26"/>
              </w:rPr>
            </w:pPr>
          </w:p>
        </w:tc>
      </w:tr>
      <w:tr w:rsidR="009476C9" w:rsidRPr="000862C2" w:rsidTr="00731EA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927" w:type="dxa"/>
          </w:tcPr>
          <w:p w:rsidR="009476C9" w:rsidRPr="000862C2" w:rsidRDefault="009476C9" w:rsidP="0084714C">
            <w:pPr>
              <w:jc w:val="both"/>
              <w:rPr>
                <w:b/>
                <w:bCs/>
                <w:sz w:val="26"/>
                <w:szCs w:val="26"/>
              </w:rPr>
            </w:pPr>
            <w:r w:rsidRPr="000862C2">
              <w:rPr>
                <w:b/>
                <w:bCs/>
                <w:sz w:val="26"/>
                <w:szCs w:val="26"/>
              </w:rPr>
              <w:t>IMPETRADA:</w:t>
            </w:r>
          </w:p>
        </w:tc>
        <w:tc>
          <w:tcPr>
            <w:tcW w:w="6509" w:type="dxa"/>
          </w:tcPr>
          <w:p w:rsidR="009476C9" w:rsidRPr="000862C2" w:rsidRDefault="009476C9" w:rsidP="0084714C">
            <w:pPr>
              <w:jc w:val="both"/>
              <w:rPr>
                <w:sz w:val="26"/>
                <w:szCs w:val="26"/>
              </w:rPr>
            </w:pPr>
            <w:r w:rsidRPr="000862C2">
              <w:rPr>
                <w:sz w:val="26"/>
                <w:szCs w:val="26"/>
              </w:rPr>
              <w:t>DELEGADO FEDERAL PLANTONISTA DA SUPERINTENDÊNCIA DA POLÍCIA FEDERAL NO ESTADO DO AMAZONAS</w:t>
            </w:r>
          </w:p>
        </w:tc>
      </w:tr>
    </w:tbl>
    <w:p w:rsidR="009476C9" w:rsidRPr="000862C2" w:rsidRDefault="009476C9" w:rsidP="0084714C">
      <w:pPr>
        <w:jc w:val="both"/>
        <w:rPr>
          <w:b/>
          <w:sz w:val="26"/>
          <w:szCs w:val="26"/>
        </w:rPr>
      </w:pPr>
    </w:p>
    <w:p w:rsidR="009476C9" w:rsidRPr="000862C2" w:rsidRDefault="009476C9" w:rsidP="0084714C">
      <w:pPr>
        <w:jc w:val="both"/>
        <w:rPr>
          <w:b/>
          <w:sz w:val="26"/>
          <w:szCs w:val="26"/>
        </w:rPr>
      </w:pPr>
    </w:p>
    <w:p w:rsidR="000608B8" w:rsidRPr="000608B8" w:rsidRDefault="000608B8" w:rsidP="000608B8">
      <w:pPr>
        <w:pStyle w:val="Ttulo2"/>
        <w:jc w:val="center"/>
        <w:rPr>
          <w:sz w:val="26"/>
          <w:szCs w:val="26"/>
          <w:u w:val="single"/>
        </w:rPr>
      </w:pPr>
      <w:r w:rsidRPr="000862C2">
        <w:rPr>
          <w:sz w:val="26"/>
          <w:szCs w:val="26"/>
          <w:u w:val="single"/>
        </w:rPr>
        <w:t>DECISÃO</w:t>
      </w:r>
    </w:p>
    <w:p w:rsidR="009476C9" w:rsidRPr="000862C2" w:rsidRDefault="009476C9" w:rsidP="0084714C">
      <w:pPr>
        <w:jc w:val="both"/>
        <w:rPr>
          <w:sz w:val="26"/>
          <w:szCs w:val="26"/>
        </w:rPr>
      </w:pPr>
    </w:p>
    <w:p w:rsidR="009476C9" w:rsidRPr="000862C2" w:rsidRDefault="009476C9" w:rsidP="0084714C">
      <w:pPr>
        <w:jc w:val="both"/>
        <w:rPr>
          <w:sz w:val="26"/>
          <w:szCs w:val="26"/>
        </w:rPr>
      </w:pPr>
    </w:p>
    <w:p w:rsidR="001B2DF3" w:rsidRPr="000862C2" w:rsidRDefault="009476C9" w:rsidP="0084714C">
      <w:pPr>
        <w:jc w:val="both"/>
        <w:rPr>
          <w:sz w:val="26"/>
          <w:szCs w:val="26"/>
        </w:rPr>
      </w:pP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  <w:t xml:space="preserve">Trata-se de Mandado de Segurança Coletivo com pedido de concessão de medida liminar, apresentado perante este Juízo Plantonista </w:t>
      </w:r>
      <w:r w:rsidRPr="005B26F9">
        <w:rPr>
          <w:b/>
          <w:sz w:val="26"/>
          <w:szCs w:val="26"/>
          <w:u w:val="single"/>
        </w:rPr>
        <w:t>sem prévia autuação e distribuição</w:t>
      </w:r>
      <w:r w:rsidRPr="000862C2">
        <w:rPr>
          <w:sz w:val="26"/>
          <w:szCs w:val="26"/>
        </w:rPr>
        <w:t xml:space="preserve">, no qual a impetrante - Ordem dos Advogados do Brasil OAB/AM - postula por medida judicial de urgência que determine à coatora que </w:t>
      </w:r>
      <w:r w:rsidR="005D09BE" w:rsidRPr="000862C2">
        <w:rPr>
          <w:sz w:val="26"/>
          <w:szCs w:val="26"/>
        </w:rPr>
        <w:t xml:space="preserve">não viole as prerrogativas dos Advogados previstas na Lei nº 8906/94, de modo a não impedir o acesso dos Causídicos ao atendimento </w:t>
      </w:r>
      <w:r w:rsidR="001B2DF3" w:rsidRPr="000862C2">
        <w:rPr>
          <w:sz w:val="26"/>
          <w:szCs w:val="26"/>
        </w:rPr>
        <w:t>no setor de recepção da sede da Superintendência da PF em Manaus, bem como que seja ordenado pelo Juízo que a Autoridade Impetrada seja instada a não obstar que os Defensores tenham assegurado o direito de se comunicarem com seus clientes que se encontrem presos no referido estabelecimento policial.</w:t>
      </w:r>
    </w:p>
    <w:p w:rsidR="001B2DF3" w:rsidRPr="000862C2" w:rsidRDefault="001B2DF3" w:rsidP="0084714C">
      <w:pPr>
        <w:jc w:val="both"/>
        <w:rPr>
          <w:sz w:val="26"/>
          <w:szCs w:val="26"/>
        </w:rPr>
      </w:pPr>
    </w:p>
    <w:p w:rsidR="001B2DF3" w:rsidRPr="000862C2" w:rsidRDefault="009476C9" w:rsidP="0084714C">
      <w:pPr>
        <w:jc w:val="both"/>
        <w:rPr>
          <w:sz w:val="26"/>
          <w:szCs w:val="26"/>
        </w:rPr>
      </w:pP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</w:r>
      <w:r w:rsidR="001B2DF3" w:rsidRPr="000862C2">
        <w:rPr>
          <w:sz w:val="26"/>
          <w:szCs w:val="26"/>
        </w:rPr>
        <w:t>A Entidade impetrante teceu robustos argumentos fáticos e jurídicos, j</w:t>
      </w:r>
      <w:r w:rsidRPr="000862C2">
        <w:rPr>
          <w:sz w:val="26"/>
          <w:szCs w:val="26"/>
        </w:rPr>
        <w:t>unt</w:t>
      </w:r>
      <w:r w:rsidR="001B2DF3" w:rsidRPr="000862C2">
        <w:rPr>
          <w:sz w:val="26"/>
          <w:szCs w:val="26"/>
        </w:rPr>
        <w:t>ando, ainda, documentação disponível a arrimar suas ponderações.</w:t>
      </w:r>
    </w:p>
    <w:p w:rsidR="001B2DF3" w:rsidRPr="000862C2" w:rsidRDefault="001B2DF3" w:rsidP="0084714C">
      <w:pPr>
        <w:jc w:val="both"/>
        <w:rPr>
          <w:sz w:val="26"/>
          <w:szCs w:val="26"/>
        </w:rPr>
      </w:pPr>
    </w:p>
    <w:p w:rsidR="009476C9" w:rsidRPr="000862C2" w:rsidRDefault="009476C9" w:rsidP="0084714C">
      <w:pPr>
        <w:jc w:val="both"/>
        <w:rPr>
          <w:sz w:val="26"/>
          <w:szCs w:val="26"/>
        </w:rPr>
      </w:pP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  <w:t>É, em apertada epítome, o relatório.</w:t>
      </w:r>
    </w:p>
    <w:p w:rsidR="009476C9" w:rsidRPr="000862C2" w:rsidRDefault="009476C9" w:rsidP="0084714C">
      <w:pPr>
        <w:jc w:val="both"/>
        <w:rPr>
          <w:sz w:val="26"/>
          <w:szCs w:val="26"/>
        </w:rPr>
      </w:pPr>
    </w:p>
    <w:p w:rsidR="009476C9" w:rsidRPr="000862C2" w:rsidRDefault="009476C9" w:rsidP="0084714C">
      <w:pPr>
        <w:jc w:val="both"/>
        <w:rPr>
          <w:sz w:val="26"/>
          <w:szCs w:val="26"/>
        </w:rPr>
      </w:pP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  <w:t>Tudo posto e sopesado, passo a decidir.</w:t>
      </w:r>
    </w:p>
    <w:p w:rsidR="009476C9" w:rsidRPr="000862C2" w:rsidRDefault="009476C9" w:rsidP="0084714C">
      <w:pPr>
        <w:jc w:val="both"/>
        <w:rPr>
          <w:sz w:val="26"/>
          <w:szCs w:val="26"/>
        </w:rPr>
      </w:pPr>
    </w:p>
    <w:p w:rsidR="009476C9" w:rsidRPr="000862C2" w:rsidRDefault="009476C9" w:rsidP="0084714C">
      <w:pPr>
        <w:pStyle w:val="Corpodetexto"/>
        <w:spacing w:after="0"/>
        <w:jc w:val="both"/>
        <w:rPr>
          <w:sz w:val="26"/>
          <w:szCs w:val="26"/>
        </w:rPr>
      </w:pP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  <w:t>Como é sabido, a concessão de liminar em mandado de segurança não decorre de um "livre arbítrio" do julgador, eis que tal provimento possui natureza de "exceção", e não de "regra geral", devendo ser concedida com estrita observância de seus parâmetros legais, prescritos no art. 7º, II, da Lei n.º 12.016/09.</w:t>
      </w:r>
    </w:p>
    <w:p w:rsidR="009476C9" w:rsidRPr="000862C2" w:rsidRDefault="009476C9" w:rsidP="0084714C">
      <w:pPr>
        <w:pStyle w:val="PETIO2"/>
        <w:ind w:firstLine="0"/>
        <w:rPr>
          <w:sz w:val="26"/>
          <w:szCs w:val="26"/>
        </w:rPr>
      </w:pPr>
    </w:p>
    <w:p w:rsidR="009476C9" w:rsidRDefault="009476C9" w:rsidP="0084714C">
      <w:pPr>
        <w:pStyle w:val="Corpodetexto"/>
        <w:spacing w:after="0"/>
        <w:jc w:val="both"/>
        <w:rPr>
          <w:sz w:val="26"/>
          <w:szCs w:val="26"/>
        </w:rPr>
      </w:pP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  <w:t xml:space="preserve">Na análise do pedido de tutela interinal há que se atentar para a presença, inconteste, do </w:t>
      </w:r>
      <w:r w:rsidRPr="000862C2">
        <w:rPr>
          <w:i/>
          <w:sz w:val="26"/>
          <w:szCs w:val="26"/>
        </w:rPr>
        <w:t>fumus boni iuris</w:t>
      </w:r>
      <w:r w:rsidRPr="000862C2">
        <w:rPr>
          <w:sz w:val="26"/>
          <w:szCs w:val="26"/>
        </w:rPr>
        <w:t xml:space="preserve"> e do </w:t>
      </w:r>
      <w:r w:rsidRPr="000862C2">
        <w:rPr>
          <w:i/>
          <w:sz w:val="26"/>
          <w:szCs w:val="26"/>
        </w:rPr>
        <w:t>periculum in mora</w:t>
      </w:r>
      <w:r w:rsidRPr="000862C2">
        <w:rPr>
          <w:sz w:val="26"/>
          <w:szCs w:val="26"/>
        </w:rPr>
        <w:t>, os quais devem estar configurados quando da impetração para efeito de deferimento da ordem.</w:t>
      </w:r>
    </w:p>
    <w:p w:rsidR="00E20E3F" w:rsidRPr="000862C2" w:rsidRDefault="00E20E3F" w:rsidP="0084714C">
      <w:pPr>
        <w:pStyle w:val="Corpodetexto"/>
        <w:spacing w:after="0"/>
        <w:jc w:val="both"/>
        <w:rPr>
          <w:sz w:val="26"/>
          <w:szCs w:val="26"/>
        </w:rPr>
      </w:pPr>
      <w:r w:rsidRPr="000862C2">
        <w:rPr>
          <w:sz w:val="26"/>
          <w:szCs w:val="26"/>
        </w:rPr>
        <w:lastRenderedPageBreak/>
        <w:t xml:space="preserve"> </w:t>
      </w: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  <w:t xml:space="preserve">Para o pleno exercício da ampla defesa em processo penal se faz imprescindível ao defendente reunir-se com seu advogado para que este possa lhe transmitir todas as informações necessárias sobre o caso, de forma a se deduzir a melhor solução jurídica para o seu problema. Tantas quanto bastem, devem ser as reuniões. Conforme nos ensina a doutrina, </w:t>
      </w:r>
      <w:r w:rsidRPr="000862C2">
        <w:rPr>
          <w:i/>
          <w:sz w:val="26"/>
          <w:szCs w:val="26"/>
        </w:rPr>
        <w:t>“é fundamental ouvir o constituinte tantas vezes quantas forem necessárias para revisar impressões e fortalecer convicções.”</w:t>
      </w:r>
      <w:bookmarkStart w:id="0" w:name="_ftnref1_1691"/>
      <w:r w:rsidRPr="000862C2">
        <w:rPr>
          <w:sz w:val="26"/>
          <w:szCs w:val="26"/>
        </w:rPr>
        <w:fldChar w:fldCharType="begin"/>
      </w:r>
      <w:r w:rsidRPr="000862C2">
        <w:rPr>
          <w:sz w:val="26"/>
          <w:szCs w:val="26"/>
        </w:rPr>
        <w:instrText xml:space="preserve"> HYPERLINK "https://www.conjur.com.br/2011-jun-27/direitos-preso-prerrogativas-exercicio-advocacia" \l "_ftn1_1691" </w:instrText>
      </w:r>
      <w:r w:rsidRPr="000862C2">
        <w:rPr>
          <w:sz w:val="26"/>
          <w:szCs w:val="26"/>
        </w:rPr>
        <w:fldChar w:fldCharType="separate"/>
      </w:r>
      <w:r w:rsidR="00F561CC" w:rsidRPr="000862C2">
        <w:rPr>
          <w:sz w:val="26"/>
          <w:szCs w:val="26"/>
        </w:rPr>
        <w:t xml:space="preserve"> (</w:t>
      </w:r>
      <w:r w:rsidR="00F561CC" w:rsidRPr="000862C2">
        <w:rPr>
          <w:color w:val="1A1A1A"/>
          <w:sz w:val="26"/>
          <w:szCs w:val="26"/>
          <w:shd w:val="clear" w:color="auto" w:fill="FFFFFF"/>
        </w:rPr>
        <w:t>DOTTI, René Ariel.</w:t>
      </w:r>
      <w:r w:rsidR="00492C68" w:rsidRPr="000862C2">
        <w:rPr>
          <w:color w:val="1A1A1A"/>
          <w:sz w:val="26"/>
          <w:szCs w:val="26"/>
          <w:shd w:val="clear" w:color="auto" w:fill="FFFFFF"/>
        </w:rPr>
        <w:t xml:space="preserve"> </w:t>
      </w:r>
      <w:r w:rsidR="00F561CC" w:rsidRPr="000862C2">
        <w:rPr>
          <w:rStyle w:val="nfase"/>
          <w:color w:val="1A1A1A"/>
          <w:sz w:val="26"/>
          <w:szCs w:val="26"/>
          <w:shd w:val="clear" w:color="auto" w:fill="FFFFFF"/>
        </w:rPr>
        <w:t>Breviário forense.</w:t>
      </w:r>
      <w:r w:rsidR="00F561CC" w:rsidRPr="000862C2">
        <w:rPr>
          <w:color w:val="1A1A1A"/>
          <w:sz w:val="26"/>
          <w:szCs w:val="26"/>
          <w:shd w:val="clear" w:color="auto" w:fill="FFFFFF"/>
        </w:rPr>
        <w:t>Curitiba: Juruá.</w:t>
      </w:r>
      <w:r w:rsidR="00492C68" w:rsidRPr="000862C2">
        <w:rPr>
          <w:color w:val="1A1A1A"/>
          <w:sz w:val="26"/>
          <w:szCs w:val="26"/>
          <w:shd w:val="clear" w:color="auto" w:fill="FFFFFF"/>
        </w:rPr>
        <w:t xml:space="preserve"> 1º Edição</w:t>
      </w:r>
      <w:r w:rsidR="00F561CC" w:rsidRPr="000862C2">
        <w:rPr>
          <w:sz w:val="26"/>
          <w:szCs w:val="26"/>
        </w:rPr>
        <w:t>)</w:t>
      </w:r>
      <w:r w:rsidRPr="000862C2">
        <w:rPr>
          <w:sz w:val="26"/>
          <w:szCs w:val="26"/>
        </w:rPr>
        <w:fldChar w:fldCharType="end"/>
      </w:r>
      <w:bookmarkEnd w:id="0"/>
    </w:p>
    <w:p w:rsidR="00E20E3F" w:rsidRPr="000862C2" w:rsidRDefault="00E20E3F" w:rsidP="0084714C">
      <w:pPr>
        <w:pStyle w:val="Corpodetexto"/>
        <w:spacing w:after="0"/>
        <w:jc w:val="both"/>
        <w:rPr>
          <w:sz w:val="26"/>
          <w:szCs w:val="26"/>
        </w:rPr>
      </w:pPr>
    </w:p>
    <w:p w:rsidR="00492C68" w:rsidRPr="000862C2" w:rsidRDefault="00492C68" w:rsidP="0084714C">
      <w:pPr>
        <w:pStyle w:val="Corpodetexto"/>
        <w:spacing w:after="0"/>
        <w:jc w:val="both"/>
        <w:rPr>
          <w:sz w:val="26"/>
          <w:szCs w:val="26"/>
        </w:rPr>
      </w:pP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  <w:t xml:space="preserve">Protegendo os direitos do preso, a Lei de Execução Penal (Lei 7.210/1984) relaciona entre os direitos do custodiado, em seu artigo 41, inciso IX, o direito a </w:t>
      </w:r>
      <w:r w:rsidRPr="009153DF">
        <w:rPr>
          <w:i/>
          <w:sz w:val="26"/>
          <w:szCs w:val="26"/>
        </w:rPr>
        <w:t>“entrevista pessoal e reservada com o advogado”.</w:t>
      </w:r>
      <w:r w:rsidRPr="000862C2">
        <w:rPr>
          <w:sz w:val="26"/>
          <w:szCs w:val="26"/>
        </w:rPr>
        <w:t xml:space="preserve"> (MARCÃO, Renato. Curso de execução penal. 7ª ed. São Paulo: Saraiva.)</w:t>
      </w:r>
    </w:p>
    <w:p w:rsidR="00492C68" w:rsidRPr="000862C2" w:rsidRDefault="00492C68" w:rsidP="0084714C">
      <w:pPr>
        <w:pStyle w:val="Corpodetexto"/>
        <w:spacing w:after="0"/>
        <w:jc w:val="both"/>
        <w:rPr>
          <w:sz w:val="26"/>
          <w:szCs w:val="26"/>
        </w:rPr>
      </w:pPr>
    </w:p>
    <w:p w:rsidR="00FA6E12" w:rsidRPr="000862C2" w:rsidRDefault="009153DF" w:rsidP="0084714C">
      <w:pPr>
        <w:pStyle w:val="Corpodetexto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6E12" w:rsidRPr="000862C2">
        <w:rPr>
          <w:sz w:val="26"/>
          <w:szCs w:val="26"/>
        </w:rPr>
        <w:t>Constata-se, com base em tais premissas, que o direito do preso se entrevistar com seu advogado possui contornos de verdadeira garantia. E assim foi definida pela Convenção Americana de Direitos Humanos — Pacto de San José da Costa Rica — em seu artigo 8º, 6º inciso, ao situar entre as “garantias judiciais” o “</w:t>
      </w:r>
      <w:r w:rsidR="00FA6E12" w:rsidRPr="000862C2">
        <w:rPr>
          <w:i/>
          <w:sz w:val="26"/>
          <w:szCs w:val="26"/>
        </w:rPr>
        <w:t>direito ao acusado de defender-se pessoalmente ou de ser assistido por um defensor de sua escolha e de comunicar-se, livremente e em particular, com seu defensor.”</w:t>
      </w:r>
    </w:p>
    <w:p w:rsidR="00E20E3F" w:rsidRPr="000862C2" w:rsidRDefault="00E20E3F" w:rsidP="0084714C">
      <w:pPr>
        <w:pStyle w:val="Corpodetexto"/>
        <w:spacing w:after="0"/>
        <w:jc w:val="both"/>
        <w:rPr>
          <w:sz w:val="26"/>
          <w:szCs w:val="26"/>
        </w:rPr>
      </w:pPr>
    </w:p>
    <w:p w:rsidR="00A13FF0" w:rsidRPr="000862C2" w:rsidRDefault="009153DF" w:rsidP="0084714C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1875" w:rsidRPr="000862C2">
        <w:rPr>
          <w:sz w:val="26"/>
          <w:szCs w:val="26"/>
        </w:rPr>
        <w:t xml:space="preserve">Se, por um lado, ao preso assiste o direito de se entrevistar com sua defesa técnica, por se cuidar de imprescindível ato </w:t>
      </w:r>
      <w:r w:rsidR="00A13FF0" w:rsidRPr="000862C2">
        <w:rPr>
          <w:sz w:val="26"/>
          <w:szCs w:val="26"/>
        </w:rPr>
        <w:t xml:space="preserve">para que possa lutar </w:t>
      </w:r>
      <w:r w:rsidR="00BB1875" w:rsidRPr="000862C2">
        <w:rPr>
          <w:sz w:val="26"/>
          <w:szCs w:val="26"/>
        </w:rPr>
        <w:t xml:space="preserve">por sua liberdade, não há como deixar de se perceber, por outro lado, que inerente ao exercício regular da advocacia e da defesa nasce o direito, a prerrogativa profissional, de entrevistar-se com seu cliente, mesmo que preso, por configurar ato sem o qual fica prejudicado gravemente o exercício da advocacia e a eficiência da defesa ― que jamais, sob pena de retorno às piores fases pelas quais a humanidade já se deparou, poderá ser meramente simbólica. </w:t>
      </w:r>
    </w:p>
    <w:p w:rsidR="00FA6E12" w:rsidRPr="000862C2" w:rsidRDefault="0084714C" w:rsidP="0084714C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1875" w:rsidRPr="000862C2">
        <w:rPr>
          <w:sz w:val="26"/>
          <w:szCs w:val="26"/>
        </w:rPr>
        <w:t>Dessarte, tutelando os direitos do advogado, o Estatuto da Ordem dos Advogados do Brasil, em seu artigo 7º, inciso</w:t>
      </w:r>
      <w:r>
        <w:rPr>
          <w:sz w:val="26"/>
          <w:szCs w:val="26"/>
        </w:rPr>
        <w:t>s</w:t>
      </w:r>
      <w:r w:rsidR="00BB1875" w:rsidRPr="000862C2">
        <w:rPr>
          <w:sz w:val="26"/>
          <w:szCs w:val="26"/>
        </w:rPr>
        <w:t xml:space="preserve"> III</w:t>
      </w:r>
      <w:r>
        <w:rPr>
          <w:sz w:val="26"/>
          <w:szCs w:val="26"/>
        </w:rPr>
        <w:t xml:space="preserve"> e VI</w:t>
      </w:r>
      <w:r w:rsidR="00BB1875" w:rsidRPr="000862C2">
        <w:rPr>
          <w:sz w:val="26"/>
          <w:szCs w:val="26"/>
        </w:rPr>
        <w:t>, reserva a garantia do réu comunicar-se, de forma pessoa</w:t>
      </w:r>
      <w:r w:rsidR="00A17532" w:rsidRPr="000862C2">
        <w:rPr>
          <w:sz w:val="26"/>
          <w:szCs w:val="26"/>
        </w:rPr>
        <w:t>l e reservada, com seu advogado, independentemente de procuração</w:t>
      </w:r>
      <w:r>
        <w:rPr>
          <w:sz w:val="26"/>
          <w:szCs w:val="26"/>
        </w:rPr>
        <w:t xml:space="preserve"> e de ingressar livremente em estabelecimentos de </w:t>
      </w:r>
      <w:r w:rsidRPr="000862C2">
        <w:rPr>
          <w:color w:val="1A1A1A"/>
          <w:sz w:val="26"/>
          <w:szCs w:val="26"/>
        </w:rPr>
        <w:t>delegacias e prisões, mesmo fora da hora de expediente e independentemente da presença de seus titulares</w:t>
      </w:r>
      <w:r>
        <w:rPr>
          <w:color w:val="1A1A1A"/>
          <w:sz w:val="26"/>
          <w:szCs w:val="26"/>
        </w:rPr>
        <w:t>.</w:t>
      </w:r>
    </w:p>
    <w:p w:rsidR="00AF1F10" w:rsidRDefault="0084714C" w:rsidP="0084714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lastRenderedPageBreak/>
        <w:t xml:space="preserve"> </w:t>
      </w:r>
      <w:r>
        <w:rPr>
          <w:color w:val="1A1A1A"/>
          <w:sz w:val="26"/>
          <w:szCs w:val="26"/>
        </w:rPr>
        <w:tab/>
      </w:r>
      <w:r>
        <w:rPr>
          <w:color w:val="1A1A1A"/>
          <w:sz w:val="26"/>
          <w:szCs w:val="26"/>
        </w:rPr>
        <w:tab/>
      </w:r>
      <w:r>
        <w:rPr>
          <w:color w:val="1A1A1A"/>
          <w:sz w:val="26"/>
          <w:szCs w:val="26"/>
        </w:rPr>
        <w:tab/>
        <w:t>Assim, m</w:t>
      </w:r>
      <w:r w:rsidR="00AF1F10" w:rsidRPr="000862C2">
        <w:rPr>
          <w:color w:val="1A1A1A"/>
          <w:sz w:val="26"/>
          <w:szCs w:val="26"/>
        </w:rPr>
        <w:t xml:space="preserve">esmo sem procuração, ainda que esteja o cliente preso, detido ou recolhido em estabelecimento civil ou militar, e ainda mesmo que </w:t>
      </w:r>
      <w:r>
        <w:rPr>
          <w:color w:val="1A1A1A"/>
          <w:sz w:val="26"/>
          <w:szCs w:val="26"/>
        </w:rPr>
        <w:t xml:space="preserve">esteja considerado incomunicável, o segregado tem assegurado o acesso de ter a assistência de seu Advogado. </w:t>
      </w:r>
      <w:r w:rsidR="00AF1F10" w:rsidRPr="000862C2">
        <w:rPr>
          <w:color w:val="1A1A1A"/>
          <w:sz w:val="26"/>
          <w:szCs w:val="26"/>
        </w:rPr>
        <w:t>É o que prevê o artigo 7º do EOAB, </w:t>
      </w:r>
      <w:r w:rsidR="00AF1F10" w:rsidRPr="000862C2">
        <w:rPr>
          <w:rStyle w:val="nfase"/>
          <w:color w:val="1A1A1A"/>
          <w:sz w:val="26"/>
          <w:szCs w:val="26"/>
        </w:rPr>
        <w:t>in verbis</w:t>
      </w:r>
      <w:r w:rsidR="00AF1F10" w:rsidRPr="000862C2">
        <w:rPr>
          <w:color w:val="1A1A1A"/>
          <w:sz w:val="26"/>
          <w:szCs w:val="26"/>
        </w:rPr>
        <w:t>:</w:t>
      </w:r>
    </w:p>
    <w:p w:rsidR="0084714C" w:rsidRPr="000862C2" w:rsidRDefault="0084714C" w:rsidP="0084714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A1A1A"/>
          <w:sz w:val="26"/>
          <w:szCs w:val="26"/>
        </w:rPr>
      </w:pPr>
    </w:p>
    <w:p w:rsidR="00AF1F10" w:rsidRPr="003152C8" w:rsidRDefault="00AF1F10" w:rsidP="003152C8">
      <w:pPr>
        <w:pStyle w:val="NormalWeb"/>
        <w:shd w:val="clear" w:color="auto" w:fill="FFFFFF"/>
        <w:spacing w:before="0" w:beforeAutospacing="0" w:after="0" w:afterAutospacing="0"/>
        <w:ind w:left="2835"/>
        <w:jc w:val="both"/>
        <w:rPr>
          <w:i/>
          <w:color w:val="1A1A1A"/>
          <w:sz w:val="26"/>
          <w:szCs w:val="26"/>
        </w:rPr>
      </w:pPr>
      <w:r w:rsidRPr="003152C8">
        <w:rPr>
          <w:i/>
          <w:color w:val="1A1A1A"/>
          <w:sz w:val="26"/>
          <w:szCs w:val="26"/>
        </w:rPr>
        <w:t>Art. 7º - São direitos do advogado:</w:t>
      </w:r>
    </w:p>
    <w:p w:rsidR="003152C8" w:rsidRDefault="003152C8" w:rsidP="003152C8">
      <w:pPr>
        <w:pStyle w:val="NormalWeb"/>
        <w:shd w:val="clear" w:color="auto" w:fill="FFFFFF"/>
        <w:spacing w:before="0" w:beforeAutospacing="0" w:after="0" w:afterAutospacing="0"/>
        <w:ind w:left="2835"/>
        <w:jc w:val="both"/>
        <w:rPr>
          <w:i/>
          <w:color w:val="1A1A1A"/>
          <w:sz w:val="26"/>
          <w:szCs w:val="26"/>
        </w:rPr>
      </w:pPr>
    </w:p>
    <w:p w:rsidR="00AF1F10" w:rsidRPr="003152C8" w:rsidRDefault="00AF1F10" w:rsidP="003152C8">
      <w:pPr>
        <w:pStyle w:val="NormalWeb"/>
        <w:shd w:val="clear" w:color="auto" w:fill="FFFFFF"/>
        <w:spacing w:before="0" w:beforeAutospacing="0" w:after="0" w:afterAutospacing="0"/>
        <w:ind w:left="2835"/>
        <w:jc w:val="both"/>
        <w:rPr>
          <w:i/>
          <w:color w:val="1A1A1A"/>
          <w:sz w:val="26"/>
          <w:szCs w:val="26"/>
        </w:rPr>
      </w:pPr>
      <w:r w:rsidRPr="003152C8">
        <w:rPr>
          <w:i/>
          <w:color w:val="1A1A1A"/>
          <w:sz w:val="26"/>
          <w:szCs w:val="26"/>
        </w:rPr>
        <w:t>(...)</w:t>
      </w:r>
    </w:p>
    <w:p w:rsidR="00AF1F10" w:rsidRPr="003152C8" w:rsidRDefault="00AF1F10" w:rsidP="003152C8">
      <w:pPr>
        <w:pStyle w:val="NormalWeb"/>
        <w:shd w:val="clear" w:color="auto" w:fill="FFFFFF"/>
        <w:spacing w:before="0" w:beforeAutospacing="0" w:after="0" w:afterAutospacing="0"/>
        <w:ind w:left="2835"/>
        <w:jc w:val="both"/>
        <w:rPr>
          <w:i/>
          <w:color w:val="1A1A1A"/>
          <w:sz w:val="26"/>
          <w:szCs w:val="26"/>
        </w:rPr>
      </w:pPr>
      <w:r w:rsidRPr="003152C8">
        <w:rPr>
          <w:i/>
          <w:color w:val="1A1A1A"/>
          <w:sz w:val="26"/>
          <w:szCs w:val="26"/>
        </w:rPr>
        <w:t xml:space="preserve">III - </w:t>
      </w:r>
      <w:r w:rsidRPr="003152C8">
        <w:rPr>
          <w:b/>
          <w:i/>
          <w:color w:val="1A1A1A"/>
          <w:sz w:val="26"/>
          <w:szCs w:val="26"/>
          <w:u w:val="single"/>
        </w:rPr>
        <w:t>comunicar-se com seus clientes, pessoal e reservadamente</w:t>
      </w:r>
      <w:r w:rsidRPr="003152C8">
        <w:rPr>
          <w:i/>
          <w:color w:val="1A1A1A"/>
          <w:sz w:val="26"/>
          <w:szCs w:val="26"/>
        </w:rPr>
        <w:t>, mesmo sem procuração, quando estes se acharem presos, detidos ou recolhidos em estabelecimentos civis ou militares, ainda que considerados incomunicáveis.</w:t>
      </w:r>
    </w:p>
    <w:p w:rsidR="00181AF6" w:rsidRPr="003152C8" w:rsidRDefault="00181AF6" w:rsidP="003152C8">
      <w:pPr>
        <w:pStyle w:val="NormalWeb"/>
        <w:shd w:val="clear" w:color="auto" w:fill="FFFFFF"/>
        <w:spacing w:before="0" w:beforeAutospacing="0" w:after="0" w:afterAutospacing="0"/>
        <w:ind w:left="2835"/>
        <w:jc w:val="both"/>
        <w:rPr>
          <w:i/>
          <w:color w:val="1A1A1A"/>
          <w:sz w:val="26"/>
          <w:szCs w:val="26"/>
        </w:rPr>
      </w:pPr>
    </w:p>
    <w:p w:rsidR="00181AF6" w:rsidRPr="003152C8" w:rsidRDefault="00181AF6" w:rsidP="003152C8">
      <w:pPr>
        <w:pStyle w:val="NormalWeb"/>
        <w:shd w:val="clear" w:color="auto" w:fill="FFFFFF"/>
        <w:spacing w:before="0" w:beforeAutospacing="0" w:after="0" w:afterAutospacing="0"/>
        <w:ind w:left="2835"/>
        <w:jc w:val="both"/>
        <w:rPr>
          <w:i/>
          <w:color w:val="1A1A1A"/>
          <w:sz w:val="26"/>
          <w:szCs w:val="26"/>
        </w:rPr>
      </w:pPr>
      <w:r w:rsidRPr="003152C8">
        <w:rPr>
          <w:i/>
          <w:color w:val="1A1A1A"/>
          <w:sz w:val="26"/>
          <w:szCs w:val="26"/>
        </w:rPr>
        <w:t>(...)</w:t>
      </w:r>
    </w:p>
    <w:p w:rsidR="00181AF6" w:rsidRPr="003152C8" w:rsidRDefault="00181AF6" w:rsidP="003152C8">
      <w:pPr>
        <w:pStyle w:val="NormalWeb"/>
        <w:shd w:val="clear" w:color="auto" w:fill="FFFFFF"/>
        <w:spacing w:before="0" w:beforeAutospacing="0" w:after="0" w:afterAutospacing="0"/>
        <w:ind w:left="2835"/>
        <w:jc w:val="both"/>
        <w:rPr>
          <w:i/>
          <w:color w:val="1A1A1A"/>
          <w:sz w:val="26"/>
          <w:szCs w:val="26"/>
        </w:rPr>
      </w:pPr>
      <w:r w:rsidRPr="003152C8">
        <w:rPr>
          <w:i/>
          <w:color w:val="1A1A1A"/>
          <w:sz w:val="26"/>
          <w:szCs w:val="26"/>
        </w:rPr>
        <w:t>VI - ingressar livremente:</w:t>
      </w:r>
    </w:p>
    <w:p w:rsidR="00181AF6" w:rsidRPr="003152C8" w:rsidRDefault="00181AF6" w:rsidP="003152C8">
      <w:pPr>
        <w:pStyle w:val="NormalWeb"/>
        <w:shd w:val="clear" w:color="auto" w:fill="FFFFFF"/>
        <w:spacing w:before="0" w:beforeAutospacing="0" w:after="0" w:afterAutospacing="0"/>
        <w:ind w:left="2835"/>
        <w:jc w:val="both"/>
        <w:rPr>
          <w:i/>
          <w:color w:val="1A1A1A"/>
          <w:sz w:val="26"/>
          <w:szCs w:val="26"/>
        </w:rPr>
      </w:pPr>
      <w:r w:rsidRPr="003152C8">
        <w:rPr>
          <w:i/>
          <w:color w:val="1A1A1A"/>
          <w:sz w:val="26"/>
          <w:szCs w:val="26"/>
        </w:rPr>
        <w:t>(...)</w:t>
      </w:r>
    </w:p>
    <w:p w:rsidR="00181AF6" w:rsidRPr="003152C8" w:rsidRDefault="00181AF6" w:rsidP="003152C8">
      <w:pPr>
        <w:pStyle w:val="NormalWeb"/>
        <w:shd w:val="clear" w:color="auto" w:fill="FFFFFF"/>
        <w:spacing w:before="0" w:beforeAutospacing="0" w:after="0" w:afterAutospacing="0"/>
        <w:ind w:left="2835"/>
        <w:jc w:val="both"/>
        <w:rPr>
          <w:i/>
          <w:color w:val="1A1A1A"/>
          <w:sz w:val="26"/>
          <w:szCs w:val="26"/>
        </w:rPr>
      </w:pPr>
      <w:r w:rsidRPr="003152C8">
        <w:rPr>
          <w:i/>
          <w:color w:val="1A1A1A"/>
          <w:sz w:val="26"/>
          <w:szCs w:val="26"/>
        </w:rPr>
        <w:t xml:space="preserve">b) nas salas e dependências de audiências, secretarias, cartórios, ofícios de justiça, serviços notariais e de registro, e, no caso de </w:t>
      </w:r>
      <w:r w:rsidRPr="003152C8">
        <w:rPr>
          <w:b/>
          <w:i/>
          <w:color w:val="1A1A1A"/>
          <w:sz w:val="26"/>
          <w:szCs w:val="26"/>
          <w:u w:val="single"/>
        </w:rPr>
        <w:t>delegacias e prisões, mesmo fora da hora de expediente e independentemente da presença de seus titulares</w:t>
      </w:r>
      <w:r w:rsidRPr="003152C8">
        <w:rPr>
          <w:i/>
          <w:color w:val="1A1A1A"/>
          <w:sz w:val="26"/>
          <w:szCs w:val="26"/>
        </w:rPr>
        <w:t>; (grifei)</w:t>
      </w:r>
    </w:p>
    <w:p w:rsidR="00181AF6" w:rsidRPr="000862C2" w:rsidRDefault="00181AF6" w:rsidP="0084714C">
      <w:pPr>
        <w:pStyle w:val="NormalWeb"/>
        <w:shd w:val="clear" w:color="auto" w:fill="FFFFFF"/>
        <w:spacing w:before="0" w:beforeAutospacing="0" w:after="240" w:afterAutospacing="0"/>
        <w:ind w:left="306"/>
        <w:jc w:val="both"/>
        <w:rPr>
          <w:color w:val="1A1A1A"/>
          <w:sz w:val="26"/>
          <w:szCs w:val="26"/>
        </w:rPr>
      </w:pPr>
    </w:p>
    <w:p w:rsidR="00AF1F10" w:rsidRPr="000862C2" w:rsidRDefault="003F7176" w:rsidP="0084714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ab/>
      </w:r>
      <w:r>
        <w:rPr>
          <w:color w:val="1A1A1A"/>
          <w:sz w:val="26"/>
          <w:szCs w:val="26"/>
        </w:rPr>
        <w:tab/>
      </w:r>
      <w:r>
        <w:rPr>
          <w:color w:val="1A1A1A"/>
          <w:sz w:val="26"/>
          <w:szCs w:val="26"/>
        </w:rPr>
        <w:tab/>
      </w:r>
      <w:r w:rsidR="00AF1F10" w:rsidRPr="000862C2">
        <w:rPr>
          <w:color w:val="1A1A1A"/>
          <w:sz w:val="26"/>
          <w:szCs w:val="26"/>
        </w:rPr>
        <w:t xml:space="preserve">Com efeito, ao advogado não só é garantido </w:t>
      </w:r>
      <w:r>
        <w:rPr>
          <w:color w:val="1A1A1A"/>
          <w:sz w:val="26"/>
          <w:szCs w:val="26"/>
        </w:rPr>
        <w:t xml:space="preserve">o acesso ao interior do estabelecimento policial ou prisional, bem como de </w:t>
      </w:r>
      <w:r w:rsidR="00AF1F10" w:rsidRPr="000862C2">
        <w:rPr>
          <w:color w:val="1A1A1A"/>
          <w:sz w:val="26"/>
          <w:szCs w:val="26"/>
        </w:rPr>
        <w:t xml:space="preserve">se comunicar com seu cliente, como o ratifica Paulo Lôbo, </w:t>
      </w:r>
      <w:r w:rsidR="00AF1F10" w:rsidRPr="003F7176">
        <w:rPr>
          <w:i/>
          <w:color w:val="1A1A1A"/>
          <w:sz w:val="26"/>
          <w:szCs w:val="26"/>
        </w:rPr>
        <w:t>“sem qualquer interferência ou impedimento do estabelecimento prisional e dos agentes policiais.”</w:t>
      </w:r>
      <w:r w:rsidR="00AF1F10" w:rsidRPr="000862C2">
        <w:rPr>
          <w:color w:val="1A1A1A"/>
          <w:sz w:val="26"/>
          <w:szCs w:val="26"/>
        </w:rPr>
        <w:t xml:space="preserve"> </w:t>
      </w:r>
      <w:r w:rsidR="00AF1F10" w:rsidRPr="003F7176">
        <w:rPr>
          <w:b/>
          <w:color w:val="1A1A1A"/>
          <w:sz w:val="26"/>
          <w:szCs w:val="26"/>
          <w:u w:val="single"/>
        </w:rPr>
        <w:t>O descumprimento dessa</w:t>
      </w:r>
      <w:r w:rsidRPr="003F7176">
        <w:rPr>
          <w:b/>
          <w:color w:val="1A1A1A"/>
          <w:sz w:val="26"/>
          <w:szCs w:val="26"/>
          <w:u w:val="single"/>
        </w:rPr>
        <w:t>s</w:t>
      </w:r>
      <w:r w:rsidR="00AF1F10" w:rsidRPr="003F7176">
        <w:rPr>
          <w:b/>
          <w:color w:val="1A1A1A"/>
          <w:sz w:val="26"/>
          <w:szCs w:val="26"/>
          <w:u w:val="single"/>
        </w:rPr>
        <w:t xml:space="preserve"> prerrogativa</w:t>
      </w:r>
      <w:r w:rsidRPr="003F7176">
        <w:rPr>
          <w:b/>
          <w:color w:val="1A1A1A"/>
          <w:sz w:val="26"/>
          <w:szCs w:val="26"/>
          <w:u w:val="single"/>
        </w:rPr>
        <w:t>s</w:t>
      </w:r>
      <w:r w:rsidR="00AF1F10" w:rsidRPr="003F7176">
        <w:rPr>
          <w:b/>
          <w:color w:val="1A1A1A"/>
          <w:sz w:val="26"/>
          <w:szCs w:val="26"/>
          <w:u w:val="single"/>
        </w:rPr>
        <w:t xml:space="preserve">, vale dizer, importa em </w:t>
      </w:r>
      <w:r w:rsidRPr="003F7176">
        <w:rPr>
          <w:b/>
          <w:i/>
          <w:color w:val="1A1A1A"/>
          <w:sz w:val="26"/>
          <w:szCs w:val="26"/>
          <w:u w:val="double"/>
        </w:rPr>
        <w:t>possível</w:t>
      </w:r>
      <w:r w:rsidRPr="003F7176">
        <w:rPr>
          <w:b/>
          <w:color w:val="1A1A1A"/>
          <w:sz w:val="26"/>
          <w:szCs w:val="26"/>
          <w:u w:val="single"/>
        </w:rPr>
        <w:t xml:space="preserve"> </w:t>
      </w:r>
      <w:r w:rsidRPr="003F7176">
        <w:rPr>
          <w:b/>
          <w:color w:val="1A1A1A"/>
          <w:szCs w:val="26"/>
          <w:u w:val="single"/>
        </w:rPr>
        <w:t>CRIME DE ABUSO DE AUTORIDADE</w:t>
      </w:r>
      <w:r w:rsidR="00AF1F10" w:rsidRPr="003F7176">
        <w:rPr>
          <w:b/>
          <w:color w:val="1A1A1A"/>
          <w:sz w:val="26"/>
          <w:szCs w:val="26"/>
          <w:u w:val="single"/>
        </w:rPr>
        <w:t>, consoante leitura do artigo 3º, alínea "j", da Lei 4.898/1965</w:t>
      </w:r>
      <w:r w:rsidR="00AF1F10" w:rsidRPr="000862C2">
        <w:rPr>
          <w:color w:val="1A1A1A"/>
          <w:sz w:val="26"/>
          <w:szCs w:val="26"/>
        </w:rPr>
        <w:t xml:space="preserve">, que define como abuso de autoridade qualquer atentado </w:t>
      </w:r>
      <w:r w:rsidR="00AF1F10" w:rsidRPr="003F7176">
        <w:rPr>
          <w:i/>
          <w:color w:val="1A1A1A"/>
          <w:sz w:val="26"/>
          <w:szCs w:val="26"/>
        </w:rPr>
        <w:t>“aos direitos e garantias legais assegurados ao exercício profissional.”</w:t>
      </w:r>
      <w:r w:rsidR="00AF1F10" w:rsidRPr="000862C2">
        <w:rPr>
          <w:color w:val="1A1A1A"/>
          <w:sz w:val="26"/>
          <w:szCs w:val="26"/>
        </w:rPr>
        <w:t xml:space="preserve"> (</w:t>
      </w:r>
      <w:r w:rsidR="00AF1F10" w:rsidRPr="000862C2">
        <w:rPr>
          <w:color w:val="1A1A1A"/>
          <w:sz w:val="26"/>
          <w:szCs w:val="26"/>
          <w:shd w:val="clear" w:color="auto" w:fill="FFFFFF"/>
        </w:rPr>
        <w:t>LÔBO, Paulo. </w:t>
      </w:r>
      <w:r w:rsidR="00AF1F10" w:rsidRPr="000862C2">
        <w:rPr>
          <w:rStyle w:val="nfase"/>
          <w:color w:val="1A1A1A"/>
          <w:sz w:val="26"/>
          <w:szCs w:val="26"/>
          <w:shd w:val="clear" w:color="auto" w:fill="FFFFFF"/>
        </w:rPr>
        <w:t>Estatuto da advocacia e da OAB. </w:t>
      </w:r>
      <w:r w:rsidR="00AF1F10" w:rsidRPr="000862C2">
        <w:rPr>
          <w:color w:val="1A1A1A"/>
          <w:sz w:val="26"/>
          <w:szCs w:val="26"/>
          <w:shd w:val="clear" w:color="auto" w:fill="FFFFFF"/>
        </w:rPr>
        <w:t>5ª ed. São Paulo: Saraiva. 2009.)</w:t>
      </w:r>
    </w:p>
    <w:p w:rsidR="00FA6E12" w:rsidRDefault="00FA6E12" w:rsidP="0084714C">
      <w:pPr>
        <w:pStyle w:val="Corpodetexto"/>
        <w:spacing w:after="0"/>
        <w:jc w:val="both"/>
        <w:rPr>
          <w:sz w:val="26"/>
          <w:szCs w:val="26"/>
        </w:rPr>
      </w:pPr>
    </w:p>
    <w:p w:rsidR="00FA6E12" w:rsidRPr="000862C2" w:rsidRDefault="003F7176" w:rsidP="0084714C">
      <w:pPr>
        <w:pStyle w:val="Corpodetexto"/>
        <w:spacing w:after="0"/>
        <w:jc w:val="both"/>
        <w:rPr>
          <w:color w:val="1A1A1A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Observe-se que a </w:t>
      </w:r>
      <w:r w:rsidR="00884941" w:rsidRPr="000862C2">
        <w:rPr>
          <w:color w:val="1A1A1A"/>
          <w:sz w:val="26"/>
          <w:szCs w:val="26"/>
          <w:shd w:val="clear" w:color="auto" w:fill="FFFFFF"/>
        </w:rPr>
        <w:t xml:space="preserve">matéria encontra nascedouro constitucional não somente no princípio da ampla defesa, assegurado no </w:t>
      </w:r>
      <w:r w:rsidR="00884941" w:rsidRPr="000862C2">
        <w:rPr>
          <w:color w:val="1A1A1A"/>
          <w:sz w:val="26"/>
          <w:szCs w:val="26"/>
          <w:shd w:val="clear" w:color="auto" w:fill="FFFFFF"/>
        </w:rPr>
        <w:lastRenderedPageBreak/>
        <w:t xml:space="preserve">artigo 5º, inciso LV, mas também da garantia insculpida no inciso LXIII do mesmo dispositivo, que assegura que </w:t>
      </w:r>
      <w:r w:rsidR="00884941" w:rsidRPr="003F7176">
        <w:rPr>
          <w:i/>
          <w:color w:val="1A1A1A"/>
          <w:sz w:val="26"/>
          <w:szCs w:val="26"/>
          <w:shd w:val="clear" w:color="auto" w:fill="FFFFFF"/>
        </w:rPr>
        <w:t xml:space="preserve">“o preso será informado de seus direitos, entre os quais o de permanecer calado, </w:t>
      </w:r>
      <w:r w:rsidR="00884941" w:rsidRPr="003F7176">
        <w:rPr>
          <w:i/>
          <w:color w:val="1A1A1A"/>
          <w:sz w:val="26"/>
          <w:szCs w:val="26"/>
          <w:u w:val="single"/>
          <w:shd w:val="clear" w:color="auto" w:fill="FFFFFF"/>
        </w:rPr>
        <w:t>sendo-lhe assegurada a assistência</w:t>
      </w:r>
      <w:r w:rsidR="00884941" w:rsidRPr="003F7176">
        <w:rPr>
          <w:i/>
          <w:color w:val="1A1A1A"/>
          <w:sz w:val="26"/>
          <w:szCs w:val="26"/>
          <w:shd w:val="clear" w:color="auto" w:fill="FFFFFF"/>
        </w:rPr>
        <w:t xml:space="preserve"> da família e </w:t>
      </w:r>
      <w:r w:rsidR="00884941" w:rsidRPr="003F7176">
        <w:rPr>
          <w:b/>
          <w:i/>
          <w:color w:val="1A1A1A"/>
          <w:sz w:val="26"/>
          <w:szCs w:val="26"/>
          <w:u w:val="single"/>
          <w:shd w:val="clear" w:color="auto" w:fill="FFFFFF"/>
        </w:rPr>
        <w:t>de advogado</w:t>
      </w:r>
      <w:r w:rsidR="00884941" w:rsidRPr="000862C2">
        <w:rPr>
          <w:color w:val="1A1A1A"/>
          <w:sz w:val="26"/>
          <w:szCs w:val="26"/>
          <w:shd w:val="clear" w:color="auto" w:fill="FFFFFF"/>
        </w:rPr>
        <w:t>.”</w:t>
      </w:r>
    </w:p>
    <w:p w:rsidR="00884941" w:rsidRPr="000862C2" w:rsidRDefault="00884941" w:rsidP="0084714C">
      <w:pPr>
        <w:pStyle w:val="Corpodetexto"/>
        <w:spacing w:after="0"/>
        <w:jc w:val="both"/>
        <w:rPr>
          <w:color w:val="1A1A1A"/>
          <w:sz w:val="26"/>
          <w:szCs w:val="26"/>
          <w:shd w:val="clear" w:color="auto" w:fill="FFFFFF"/>
        </w:rPr>
      </w:pPr>
    </w:p>
    <w:p w:rsidR="003F7176" w:rsidRDefault="009476C9" w:rsidP="0084714C">
      <w:pPr>
        <w:pStyle w:val="PETIO2"/>
        <w:ind w:firstLine="0"/>
        <w:rPr>
          <w:sz w:val="26"/>
          <w:szCs w:val="26"/>
        </w:rPr>
      </w:pP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</w:r>
      <w:r w:rsidR="003F7176">
        <w:rPr>
          <w:sz w:val="26"/>
          <w:szCs w:val="26"/>
        </w:rPr>
        <w:t>Diante do exposto, n</w:t>
      </w:r>
      <w:r w:rsidRPr="000862C2">
        <w:rPr>
          <w:sz w:val="26"/>
          <w:szCs w:val="26"/>
        </w:rPr>
        <w:t xml:space="preserve">um primeiro momento, em sede de juízo perfunctório, verifica-se a </w:t>
      </w:r>
      <w:r w:rsidR="00E20E3F" w:rsidRPr="000862C2">
        <w:rPr>
          <w:sz w:val="26"/>
          <w:szCs w:val="26"/>
        </w:rPr>
        <w:t xml:space="preserve">presença </w:t>
      </w:r>
      <w:r w:rsidRPr="000862C2">
        <w:rPr>
          <w:sz w:val="26"/>
          <w:szCs w:val="26"/>
        </w:rPr>
        <w:t>d</w:t>
      </w:r>
      <w:r w:rsidR="003F7176">
        <w:rPr>
          <w:sz w:val="26"/>
          <w:szCs w:val="26"/>
        </w:rPr>
        <w:t xml:space="preserve">os </w:t>
      </w:r>
      <w:r w:rsidRPr="000862C2">
        <w:rPr>
          <w:sz w:val="26"/>
          <w:szCs w:val="26"/>
        </w:rPr>
        <w:t>requisito</w:t>
      </w:r>
      <w:r w:rsidR="003F7176">
        <w:rPr>
          <w:sz w:val="26"/>
          <w:szCs w:val="26"/>
        </w:rPr>
        <w:t>s</w:t>
      </w:r>
      <w:r w:rsidRPr="000862C2">
        <w:rPr>
          <w:sz w:val="26"/>
          <w:szCs w:val="26"/>
        </w:rPr>
        <w:t xml:space="preserve"> da plausibilidade jurídica das argumentações expendidas</w:t>
      </w:r>
      <w:r w:rsidR="003F7176">
        <w:rPr>
          <w:sz w:val="26"/>
          <w:szCs w:val="26"/>
        </w:rPr>
        <w:t xml:space="preserve"> e do risco de que a demora na prestação jurisdicional almejada pela Impetrante possibilite a eventual reiteração de condutas que venham a violar as prerrogativas dos Advogados e/ou o direito dos segregados que se encontrem presos na Sede da Superintendência da Polícia Federal no Amazonas</w:t>
      </w:r>
    </w:p>
    <w:p w:rsidR="003F7176" w:rsidRDefault="003F7176" w:rsidP="0084714C">
      <w:pPr>
        <w:pStyle w:val="PETIO2"/>
        <w:ind w:firstLine="0"/>
        <w:rPr>
          <w:sz w:val="26"/>
          <w:szCs w:val="26"/>
        </w:rPr>
      </w:pPr>
    </w:p>
    <w:p w:rsidR="005B26F9" w:rsidRPr="00787336" w:rsidRDefault="009476C9" w:rsidP="0084714C">
      <w:pPr>
        <w:pStyle w:val="PETIO2"/>
        <w:ind w:firstLine="0"/>
        <w:rPr>
          <w:b/>
          <w:sz w:val="26"/>
          <w:szCs w:val="26"/>
        </w:rPr>
      </w:pPr>
      <w:r w:rsidRPr="00787336">
        <w:rPr>
          <w:b/>
          <w:sz w:val="26"/>
          <w:szCs w:val="26"/>
        </w:rPr>
        <w:tab/>
      </w:r>
      <w:r w:rsidRPr="00787336">
        <w:rPr>
          <w:b/>
          <w:sz w:val="26"/>
          <w:szCs w:val="26"/>
        </w:rPr>
        <w:tab/>
      </w:r>
      <w:r w:rsidRPr="00787336">
        <w:rPr>
          <w:b/>
          <w:sz w:val="26"/>
          <w:szCs w:val="26"/>
        </w:rPr>
        <w:tab/>
        <w:t xml:space="preserve">Assim, diante da plausibilidade jurídica e de comprovação do real perigo da demora, </w:t>
      </w:r>
      <w:r w:rsidR="00303ECD" w:rsidRPr="00787336">
        <w:rPr>
          <w:b/>
          <w:sz w:val="26"/>
          <w:szCs w:val="26"/>
        </w:rPr>
        <w:t>DEFIRO A MEDIDA LIMINAR REQUERIDA para determ</w:t>
      </w:r>
      <w:r w:rsidR="005B26F9" w:rsidRPr="00787336">
        <w:rPr>
          <w:b/>
          <w:sz w:val="26"/>
          <w:szCs w:val="26"/>
        </w:rPr>
        <w:t>inar que a Autoridade Impetrada - o Exmo. Sr. Delegado Federal Plantonista da Superintendência da Polícia Federal no Estado do Amazonas:</w:t>
      </w:r>
    </w:p>
    <w:p w:rsidR="005B26F9" w:rsidRPr="00787336" w:rsidRDefault="005B26F9" w:rsidP="0084714C">
      <w:pPr>
        <w:pStyle w:val="PETIO2"/>
        <w:ind w:firstLine="0"/>
        <w:rPr>
          <w:b/>
          <w:sz w:val="26"/>
          <w:szCs w:val="26"/>
        </w:rPr>
      </w:pPr>
    </w:p>
    <w:p w:rsidR="00125B75" w:rsidRPr="00787336" w:rsidRDefault="00125B75" w:rsidP="00125B75">
      <w:pPr>
        <w:pStyle w:val="PargrafodaLista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787336">
        <w:rPr>
          <w:b/>
          <w:sz w:val="26"/>
          <w:szCs w:val="26"/>
        </w:rPr>
        <w:t>Não viole as prerrogativas dos Advogados previstas na Lei nº 8.906/94, evitando que se venha a incorrer no tipo penal do artigo 3º, alínea "j", da Lei 4.898/1965;</w:t>
      </w:r>
    </w:p>
    <w:p w:rsidR="00125B75" w:rsidRPr="00787336" w:rsidRDefault="00125B75" w:rsidP="00125B75">
      <w:pPr>
        <w:pStyle w:val="PargrafodaLista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787336">
        <w:rPr>
          <w:b/>
          <w:sz w:val="26"/>
          <w:szCs w:val="26"/>
        </w:rPr>
        <w:t>Não impeça o acesso dos Advogados ao atendimento no setor de recepção da sede da Superintendência da PF em Manaus;</w:t>
      </w:r>
    </w:p>
    <w:p w:rsidR="00125B75" w:rsidRPr="00787336" w:rsidRDefault="00125B75" w:rsidP="00125B75">
      <w:pPr>
        <w:pStyle w:val="PargrafodaLista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787336">
        <w:rPr>
          <w:b/>
          <w:sz w:val="26"/>
          <w:szCs w:val="26"/>
        </w:rPr>
        <w:t>Assegure o direito dos Advogados – com ou sem procuração – de se comunicarem com seus clientes que se encontrem presos na sede da Superintendência da PF em Manaus.</w:t>
      </w:r>
    </w:p>
    <w:p w:rsidR="00303ECD" w:rsidRDefault="00303ECD" w:rsidP="0084714C">
      <w:pPr>
        <w:pStyle w:val="PETIO2"/>
        <w:ind w:firstLine="0"/>
        <w:rPr>
          <w:b/>
          <w:sz w:val="26"/>
          <w:szCs w:val="26"/>
        </w:rPr>
      </w:pPr>
    </w:p>
    <w:p w:rsidR="009476C9" w:rsidRPr="000862C2" w:rsidRDefault="009476C9" w:rsidP="0084714C">
      <w:pPr>
        <w:pStyle w:val="PETIO2"/>
        <w:ind w:firstLine="0"/>
        <w:rPr>
          <w:sz w:val="26"/>
          <w:szCs w:val="26"/>
        </w:rPr>
      </w:pP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  <w:t>P. Intime-se.</w:t>
      </w:r>
      <w:r w:rsidR="00125B75">
        <w:rPr>
          <w:sz w:val="26"/>
          <w:szCs w:val="26"/>
        </w:rPr>
        <w:t xml:space="preserve"> </w:t>
      </w:r>
      <w:r w:rsidR="00125B75" w:rsidRPr="00125B75">
        <w:rPr>
          <w:b/>
          <w:sz w:val="26"/>
          <w:szCs w:val="26"/>
        </w:rPr>
        <w:t>Cumpra-se por Oficial Plantonista.</w:t>
      </w:r>
    </w:p>
    <w:p w:rsidR="009476C9" w:rsidRPr="000862C2" w:rsidRDefault="009476C9" w:rsidP="0084714C">
      <w:pPr>
        <w:pStyle w:val="PETIO2"/>
        <w:ind w:firstLine="0"/>
        <w:rPr>
          <w:sz w:val="26"/>
          <w:szCs w:val="26"/>
        </w:rPr>
      </w:pPr>
    </w:p>
    <w:p w:rsidR="009476C9" w:rsidRPr="000862C2" w:rsidRDefault="009476C9" w:rsidP="0084714C">
      <w:pPr>
        <w:pStyle w:val="PETIO2"/>
        <w:ind w:firstLine="0"/>
        <w:rPr>
          <w:sz w:val="26"/>
          <w:szCs w:val="26"/>
        </w:rPr>
      </w:pP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</w:r>
      <w:r w:rsidRPr="000862C2">
        <w:rPr>
          <w:sz w:val="26"/>
          <w:szCs w:val="26"/>
        </w:rPr>
        <w:tab/>
        <w:t>Autue-se e se distribua o presente feito assim que se retornar o expediente judicial ordinário.</w:t>
      </w:r>
    </w:p>
    <w:p w:rsidR="009476C9" w:rsidRPr="000862C2" w:rsidRDefault="009476C9" w:rsidP="0084714C">
      <w:pPr>
        <w:pStyle w:val="PETIO2"/>
        <w:ind w:firstLine="0"/>
        <w:rPr>
          <w:sz w:val="26"/>
          <w:szCs w:val="26"/>
        </w:rPr>
      </w:pPr>
    </w:p>
    <w:p w:rsidR="009476C9" w:rsidRPr="000862C2" w:rsidRDefault="00125B75" w:rsidP="0084714C">
      <w:pPr>
        <w:pStyle w:val="PETIO2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476C9" w:rsidRPr="000862C2">
        <w:rPr>
          <w:sz w:val="26"/>
          <w:szCs w:val="26"/>
        </w:rPr>
        <w:t xml:space="preserve">Manaus, </w:t>
      </w:r>
      <w:r>
        <w:rPr>
          <w:sz w:val="26"/>
          <w:szCs w:val="26"/>
        </w:rPr>
        <w:t>03</w:t>
      </w:r>
      <w:r w:rsidR="009476C9" w:rsidRPr="000862C2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novembro </w:t>
      </w:r>
      <w:r w:rsidR="009476C9" w:rsidRPr="000862C2">
        <w:rPr>
          <w:sz w:val="26"/>
          <w:szCs w:val="26"/>
        </w:rPr>
        <w:t>de 201</w:t>
      </w:r>
      <w:r>
        <w:rPr>
          <w:sz w:val="26"/>
          <w:szCs w:val="26"/>
        </w:rPr>
        <w:t>8</w:t>
      </w:r>
      <w:r w:rsidR="009476C9" w:rsidRPr="000862C2">
        <w:rPr>
          <w:sz w:val="26"/>
          <w:szCs w:val="26"/>
        </w:rPr>
        <w:t>.</w:t>
      </w:r>
    </w:p>
    <w:p w:rsidR="009476C9" w:rsidRPr="000862C2" w:rsidRDefault="009476C9" w:rsidP="0084714C">
      <w:pPr>
        <w:pStyle w:val="PETIO2"/>
        <w:ind w:firstLine="0"/>
        <w:rPr>
          <w:sz w:val="26"/>
          <w:szCs w:val="26"/>
        </w:rPr>
      </w:pPr>
    </w:p>
    <w:p w:rsidR="009476C9" w:rsidRPr="000862C2" w:rsidRDefault="009476C9" w:rsidP="0084714C">
      <w:pPr>
        <w:pStyle w:val="PETIO2"/>
        <w:ind w:firstLine="0"/>
        <w:rPr>
          <w:sz w:val="26"/>
          <w:szCs w:val="26"/>
        </w:rPr>
      </w:pPr>
    </w:p>
    <w:p w:rsidR="009476C9" w:rsidRPr="000862C2" w:rsidRDefault="009476C9" w:rsidP="00125B75">
      <w:pPr>
        <w:pStyle w:val="PETIO2"/>
        <w:ind w:firstLine="0"/>
        <w:jc w:val="center"/>
        <w:rPr>
          <w:b/>
          <w:sz w:val="26"/>
          <w:szCs w:val="26"/>
        </w:rPr>
      </w:pPr>
      <w:r w:rsidRPr="000862C2">
        <w:rPr>
          <w:b/>
          <w:sz w:val="26"/>
          <w:szCs w:val="26"/>
        </w:rPr>
        <w:t>JUIZ RICARDO A. DE SALES</w:t>
      </w:r>
    </w:p>
    <w:sectPr w:rsidR="009476C9" w:rsidRPr="000862C2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2835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ED6" w:rsidRDefault="00A57ED6" w:rsidP="000608B8">
      <w:r>
        <w:separator/>
      </w:r>
    </w:p>
  </w:endnote>
  <w:endnote w:type="continuationSeparator" w:id="1">
    <w:p w:rsidR="00A57ED6" w:rsidRDefault="00A57ED6" w:rsidP="0006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9B" w:rsidRDefault="00A57E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099B" w:rsidRDefault="00A57ED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9B" w:rsidRDefault="00A57E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733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F099B" w:rsidRDefault="00A57ED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ED6" w:rsidRDefault="00A57ED6" w:rsidP="000608B8">
      <w:r>
        <w:separator/>
      </w:r>
    </w:p>
  </w:footnote>
  <w:footnote w:type="continuationSeparator" w:id="1">
    <w:p w:rsidR="00A57ED6" w:rsidRDefault="00A57ED6" w:rsidP="00060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9B" w:rsidRDefault="00A57ED6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2pt;height:50.55pt" fillcolor="window">
          <v:imagedata r:id="rId1" o:title=""/>
        </v:shape>
      </w:pict>
    </w:r>
  </w:p>
  <w:p w:rsidR="008F099B" w:rsidRDefault="00A57ED6">
    <w:pPr>
      <w:pStyle w:val="Legenda"/>
    </w:pPr>
    <w:r>
      <w:t>PODER JUDICIÁRIO</w:t>
    </w:r>
  </w:p>
  <w:p w:rsidR="008F099B" w:rsidRDefault="00A57ED6">
    <w:pPr>
      <w:pStyle w:val="Textoembloco"/>
      <w:ind w:left="0" w:right="0"/>
      <w:jc w:val="center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>JUÍZO FEDERAL PL</w:t>
    </w:r>
    <w:r>
      <w:rPr>
        <w:rFonts w:ascii="Times New Roman" w:hAnsi="Times New Roman"/>
        <w:szCs w:val="22"/>
      </w:rPr>
      <w:t>ANTONISTA</w:t>
    </w:r>
  </w:p>
  <w:p w:rsidR="000608B8" w:rsidRDefault="000608B8">
    <w:pPr>
      <w:pStyle w:val="Textoembloco"/>
      <w:ind w:left="0" w:right="0"/>
      <w:jc w:val="center"/>
      <w:rPr>
        <w:rFonts w:ascii="Times New Roman" w:hAnsi="Times New Roman"/>
        <w:szCs w:val="22"/>
      </w:rPr>
    </w:pPr>
  </w:p>
  <w:p w:rsidR="000608B8" w:rsidRDefault="000608B8">
    <w:pPr>
      <w:pStyle w:val="Textoembloco"/>
      <w:ind w:left="0" w:right="0"/>
      <w:jc w:val="center"/>
      <w:rPr>
        <w:rFonts w:ascii="Times New Roman" w:hAnsi="Times New Roman"/>
        <w:szCs w:val="22"/>
      </w:rPr>
    </w:pPr>
  </w:p>
  <w:p w:rsidR="000608B8" w:rsidRPr="000862C2" w:rsidRDefault="000608B8" w:rsidP="000608B8">
    <w:pPr>
      <w:pStyle w:val="Ttulo2"/>
      <w:jc w:val="center"/>
      <w:rPr>
        <w:sz w:val="26"/>
        <w:szCs w:val="26"/>
        <w:u w:val="single"/>
      </w:rPr>
    </w:pPr>
    <w:r w:rsidRPr="000862C2">
      <w:rPr>
        <w:sz w:val="26"/>
        <w:szCs w:val="26"/>
        <w:u w:val="single"/>
      </w:rPr>
      <w:t>DECISÃO</w:t>
    </w:r>
    <w:r>
      <w:rPr>
        <w:sz w:val="26"/>
        <w:szCs w:val="26"/>
        <w:u w:val="single"/>
      </w:rPr>
      <w:t xml:space="preserve"> COM FORÇA DA MANDADO JUDICIAL</w:t>
    </w:r>
  </w:p>
  <w:p w:rsidR="000608B8" w:rsidRDefault="000608B8">
    <w:pPr>
      <w:pStyle w:val="Textoembloco"/>
      <w:ind w:left="0" w:right="0"/>
      <w:jc w:val="center"/>
      <w:rPr>
        <w:rFonts w:ascii="Times New Roman" w:hAnsi="Times New Roman"/>
        <w:szCs w:val="22"/>
      </w:rPr>
    </w:pPr>
  </w:p>
  <w:p w:rsidR="000608B8" w:rsidRDefault="000608B8">
    <w:pPr>
      <w:pStyle w:val="Textoembloco"/>
      <w:ind w:left="0" w:right="0"/>
      <w:jc w:val="center"/>
      <w:rPr>
        <w:rFonts w:ascii="Times New Roman" w:hAnsi="Times New Roman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057E"/>
    <w:multiLevelType w:val="hybridMultilevel"/>
    <w:tmpl w:val="08DC3F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6C9"/>
    <w:rsid w:val="000608B8"/>
    <w:rsid w:val="000862C2"/>
    <w:rsid w:val="00125B75"/>
    <w:rsid w:val="0015011E"/>
    <w:rsid w:val="00181AF6"/>
    <w:rsid w:val="001B2DF3"/>
    <w:rsid w:val="00210136"/>
    <w:rsid w:val="00303ECD"/>
    <w:rsid w:val="003152C8"/>
    <w:rsid w:val="00321319"/>
    <w:rsid w:val="003F7176"/>
    <w:rsid w:val="00492C68"/>
    <w:rsid w:val="005A2812"/>
    <w:rsid w:val="005B26F9"/>
    <w:rsid w:val="005D09BE"/>
    <w:rsid w:val="00652FF3"/>
    <w:rsid w:val="006B194D"/>
    <w:rsid w:val="007439EA"/>
    <w:rsid w:val="00787336"/>
    <w:rsid w:val="007E5335"/>
    <w:rsid w:val="0084714C"/>
    <w:rsid w:val="00884941"/>
    <w:rsid w:val="009153DF"/>
    <w:rsid w:val="009476C9"/>
    <w:rsid w:val="00A13FF0"/>
    <w:rsid w:val="00A17532"/>
    <w:rsid w:val="00A57ED6"/>
    <w:rsid w:val="00AF1F10"/>
    <w:rsid w:val="00BB1875"/>
    <w:rsid w:val="00C225C6"/>
    <w:rsid w:val="00C72AE8"/>
    <w:rsid w:val="00DB4FD8"/>
    <w:rsid w:val="00E20E3F"/>
    <w:rsid w:val="00F561CC"/>
    <w:rsid w:val="00FA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476C9"/>
    <w:pPr>
      <w:keepNext/>
      <w:outlineLvl w:val="1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76C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9476C9"/>
    <w:pPr>
      <w:jc w:val="center"/>
    </w:pPr>
    <w:rPr>
      <w:b/>
      <w:sz w:val="22"/>
    </w:rPr>
  </w:style>
  <w:style w:type="paragraph" w:styleId="Corpodetexto">
    <w:name w:val="Body Text"/>
    <w:basedOn w:val="Normal"/>
    <w:link w:val="CorpodetextoChar"/>
    <w:rsid w:val="00947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76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ETIO2">
    <w:name w:val="PETIÇÃO 2"/>
    <w:basedOn w:val="Normal"/>
    <w:autoRedefine/>
    <w:rsid w:val="009476C9"/>
    <w:pPr>
      <w:ind w:firstLine="1701"/>
      <w:jc w:val="both"/>
    </w:pPr>
  </w:style>
  <w:style w:type="paragraph" w:styleId="Textoembloco">
    <w:name w:val="Block Text"/>
    <w:basedOn w:val="Normal"/>
    <w:rsid w:val="009476C9"/>
    <w:pPr>
      <w:ind w:left="540" w:right="558"/>
      <w:jc w:val="both"/>
    </w:pPr>
    <w:rPr>
      <w:rFonts w:ascii="Verdana" w:hAnsi="Verdana"/>
      <w:sz w:val="20"/>
    </w:rPr>
  </w:style>
  <w:style w:type="paragraph" w:styleId="Cabealho">
    <w:name w:val="header"/>
    <w:basedOn w:val="Normal"/>
    <w:link w:val="CabealhoChar"/>
    <w:rsid w:val="009476C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476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476C9"/>
  </w:style>
  <w:style w:type="paragraph" w:styleId="Rodap">
    <w:name w:val="footer"/>
    <w:basedOn w:val="Normal"/>
    <w:link w:val="RodapChar"/>
    <w:rsid w:val="009476C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9476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20E3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561CC"/>
    <w:rPr>
      <w:i/>
      <w:iCs/>
    </w:rPr>
  </w:style>
  <w:style w:type="paragraph" w:styleId="NormalWeb">
    <w:name w:val="Normal (Web)"/>
    <w:basedOn w:val="Normal"/>
    <w:uiPriority w:val="99"/>
    <w:unhideWhenUsed/>
    <w:rsid w:val="00BB187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2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ju326</dc:creator>
  <cp:lastModifiedBy>ju326</cp:lastModifiedBy>
  <cp:revision>2</cp:revision>
  <cp:lastPrinted>2018-11-03T23:04:00Z</cp:lastPrinted>
  <dcterms:created xsi:type="dcterms:W3CDTF">2018-11-03T23:08:00Z</dcterms:created>
  <dcterms:modified xsi:type="dcterms:W3CDTF">2018-11-03T23:08:00Z</dcterms:modified>
</cp:coreProperties>
</file>